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both"/>
        <w:rPr>
          <w:rFonts w:ascii="Arial" w:cs="Arial" w:eastAsia="Arial" w:hAnsi="Arial"/>
          <w:sz w:val="22"/>
          <w:szCs w:val="22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jc w:val="both"/>
        <w:rPr>
          <w:rFonts w:ascii="Arial" w:cs="Arial" w:eastAsia="Arial" w:hAnsi="Arial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u w:val="single"/>
          <w:rtl w:val="0"/>
        </w:rPr>
        <w:t xml:space="preserve">PRR Routing Sheet Instructions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vertAlign w:val="baseline"/>
          <w:rtl w:val="0"/>
        </w:rPr>
        <w:t xml:space="preserve">he PRR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Routing Sheet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vertAlign w:val="baseline"/>
          <w:rtl w:val="0"/>
        </w:rPr>
        <w:t xml:space="preserve"> must accompany all PRRs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revisions.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Correct document naming protocols for submitted revisions: </w:t>
      </w:r>
    </w:p>
    <w:p w:rsidR="00000000" w:rsidDel="00000000" w:rsidP="00000000" w:rsidRDefault="00000000" w:rsidRPr="00000000" w14:paraId="00000005">
      <w:pPr>
        <w:ind w:firstLine="720"/>
        <w:rPr>
          <w:rFonts w:ascii="Arial" w:cs="Arial" w:eastAsia="Arial" w:hAnsi="Arial"/>
          <w:b w:val="1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POL/REG ##.##.## - Title - Routing and Redline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tabs>
          <w:tab w:val="left" w:leader="none" w:pos="3960"/>
        </w:tabs>
        <w:ind w:left="720" w:firstLine="0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POL/REG ##.##.## - Title  - Clean</w:t>
      </w:r>
    </w:p>
    <w:p w:rsidR="00000000" w:rsidDel="00000000" w:rsidP="00000000" w:rsidRDefault="00000000" w:rsidRPr="00000000" w14:paraId="00000007">
      <w:pPr>
        <w:tabs>
          <w:tab w:val="left" w:leader="none" w:pos="3960"/>
        </w:tabs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3960"/>
        </w:tabs>
        <w:ind w:left="1440" w:hanging="360"/>
        <w:rPr>
          <w:rFonts w:ascii="Arial" w:cs="Arial" w:eastAsia="Arial" w:hAnsi="Arial"/>
          <w:b w:val="1"/>
          <w:sz w:val="22"/>
          <w:szCs w:val="22"/>
          <w:highlight w:val="yellow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The Clean Version of the revised PRR should be properly formatted and free from comments and document revision history.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2"/>
          <w:szCs w:val="22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810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u w:val="single"/>
          <w:rtl w:val="0"/>
        </w:rPr>
        <w:t xml:space="preserve">Please delete highlighted instructions prior to submitting your proposed new or revised PRR.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right="-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-72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PRR ROUTING SHEET</w:t>
      </w:r>
    </w:p>
    <w:p w:rsidR="00000000" w:rsidDel="00000000" w:rsidP="00000000" w:rsidRDefault="00000000" w:rsidRPr="00000000" w14:paraId="0000000D">
      <w:pPr>
        <w:ind w:right="-72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90" w:right="-72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PROPOSED REVISION TO: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POL/REG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##:  Title</w:t>
      </w:r>
    </w:p>
    <w:p w:rsidR="00000000" w:rsidDel="00000000" w:rsidP="00000000" w:rsidRDefault="00000000" w:rsidRPr="00000000" w14:paraId="0000000F">
      <w:pPr>
        <w:ind w:left="-90" w:right="-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NEXT REVIEW SCHEDULED FOR: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___ 1-year    ____ 3-years    ___ 5-years</w:t>
      </w:r>
    </w:p>
    <w:p w:rsidR="00000000" w:rsidDel="00000000" w:rsidP="00000000" w:rsidRDefault="00000000" w:rsidRPr="00000000" w14:paraId="00000010">
      <w:pPr>
        <w:ind w:left="3240" w:right="-720" w:hanging="324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3240" w:right="-720" w:hanging="324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Rationale: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3240" w:right="-720" w:hanging="324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3240" w:right="-720" w:hanging="324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3240" w:right="-720" w:hanging="324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3240" w:right="-720" w:hanging="324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240" w:right="-720" w:hanging="324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240" w:right="-720" w:hanging="324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Consultation Process:</w:t>
      </w:r>
    </w:p>
    <w:tbl>
      <w:tblPr>
        <w:tblStyle w:val="Table1"/>
        <w:tblW w:w="10140.0" w:type="dxa"/>
        <w:jc w:val="left"/>
        <w:tblInd w:w="-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4950"/>
        <w:gridCol w:w="1020"/>
        <w:tblGridChange w:id="0">
          <w:tblGrid>
            <w:gridCol w:w="4170"/>
            <w:gridCol w:w="4950"/>
            <w:gridCol w:w="1020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Name/Title/Department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PRR Process Point of Contact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Responsible Official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Chancellor or Executive Officer with delegated authority and/or other administrators as designated to develop Regulation or Rule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Executive Officer 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Delegated authority to review &amp; approve as per REG 01.25.05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Consulted Stakeholder(s), Constituent(s), OGC attorney, and/or Compliance Officer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(add more rows as necessary)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Office of General Counsel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Submitted to Chancellor’s office for inclusion on the Chancellor’s Cabinet meeting agenda: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080" w:top="1080" w:left="1080" w:right="1800" w:header="144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jc w:val="center"/>
      <w:rPr>
        <w:vertAlign w:val="baseline"/>
      </w:rPr>
    </w:pPr>
    <w:r w:rsidDel="00000000" w:rsidR="00000000" w:rsidRPr="00000000">
      <w:rPr>
        <w:vertAlign w:val="baseline"/>
        <w:rtl w:val="0"/>
      </w:rPr>
      <w:t xml:space="preserve">Page </w:t>
    </w:r>
    <w:r w:rsidDel="00000000" w:rsidR="00000000" w:rsidRPr="00000000">
      <w:rPr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vertAlign w:val="baseline"/>
        <w:rtl w:val="0"/>
      </w:rPr>
      <w:t xml:space="preserve"> of  </w:t>
    </w:r>
    <w:r w:rsidDel="00000000" w:rsidR="00000000" w:rsidRPr="00000000">
      <w:rPr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rPr>
        <w:sz w:val="20"/>
        <w:szCs w:val="20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Rev: 8/2024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tabs>
        <w:tab w:val="center" w:leader="none" w:pos="4680"/>
      </w:tabs>
      <w:jc w:val="center"/>
    </w:pPr>
    <w:rPr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ind w:right="-720"/>
    </w:pPr>
    <w:rPr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tabs>
        <w:tab w:val="center" w:leader="none" w:pos="4680"/>
      </w:tabs>
      <w:jc w:val="center"/>
    </w:pPr>
    <w:rPr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ind w:right="-720"/>
    </w:pPr>
    <w:rPr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tabs>
        <w:tab w:val="center" w:leader="none" w:pos="4680"/>
      </w:tabs>
      <w:jc w:val="center"/>
    </w:pPr>
    <w:rPr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ind w:right="-720"/>
    </w:pPr>
    <w:rPr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tabs>
        <w:tab w:val="center" w:leader="none" w:pos="4680"/>
      </w:tabs>
      <w:jc w:val="center"/>
    </w:pPr>
    <w:rPr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ind w:right="-720"/>
    </w:pPr>
    <w:rPr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3fcVetNXHYv53WC5AmFpPB6lWQ==">CgMxLjA4AHIhMUR6bjFZU1BOOUJnWFJfc2lDRlZyRWRiLVV4QjMtdDFa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